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8A" w:rsidRPr="000B25EE" w:rsidRDefault="0026528A" w:rsidP="0026528A">
      <w:pPr>
        <w:jc w:val="right"/>
        <w:rPr>
          <w:rFonts w:ascii="Times New Roman" w:hAnsi="Times New Roman"/>
          <w:sz w:val="24"/>
          <w:szCs w:val="20"/>
        </w:rPr>
      </w:pPr>
      <w:bookmarkStart w:id="0" w:name="_GoBack"/>
      <w:bookmarkEnd w:id="0"/>
      <w:r w:rsidRPr="000B25EE">
        <w:rPr>
          <w:rFonts w:ascii="Times New Roman" w:hAnsi="Times New Roman"/>
          <w:sz w:val="24"/>
          <w:szCs w:val="20"/>
        </w:rPr>
        <w:t>Таблица 12</w:t>
      </w:r>
    </w:p>
    <w:p w:rsidR="005774F0" w:rsidRDefault="004373E6" w:rsidP="004373E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</w:rPr>
      </w:pPr>
      <w:r w:rsidRPr="005774F0">
        <w:rPr>
          <w:rFonts w:ascii="Times New Roman" w:hAnsi="Times New Roman" w:cs="Times New Roman"/>
          <w:b/>
          <w:sz w:val="28"/>
        </w:rPr>
        <w:t xml:space="preserve">Паспорт </w:t>
      </w:r>
    </w:p>
    <w:p w:rsidR="004373E6" w:rsidRPr="005774F0" w:rsidRDefault="004373E6" w:rsidP="004373E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</w:rPr>
      </w:pPr>
      <w:r w:rsidRPr="005774F0">
        <w:rPr>
          <w:rFonts w:ascii="Times New Roman" w:hAnsi="Times New Roman" w:cs="Times New Roman"/>
          <w:b/>
          <w:sz w:val="28"/>
        </w:rPr>
        <w:t>инвестиционного проекта</w:t>
      </w:r>
    </w:p>
    <w:p w:rsidR="004373E6" w:rsidRPr="000B25EE" w:rsidRDefault="004373E6" w:rsidP="004373E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474"/>
        <w:gridCol w:w="1495"/>
      </w:tblGrid>
      <w:tr w:rsidR="004373E6" w:rsidRPr="000B25EE" w:rsidTr="005774F0">
        <w:trPr>
          <w:trHeight w:val="582"/>
          <w:tblHeader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№</w:t>
            </w:r>
            <w:r w:rsidRPr="000B25EE"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Данные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Комментарии</w:t>
            </w:r>
          </w:p>
        </w:tc>
      </w:tr>
      <w:tr w:rsidR="004373E6" w:rsidRPr="000B25EE" w:rsidTr="005774F0">
        <w:trPr>
          <w:trHeight w:val="346"/>
          <w:tblHeader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0B25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0B25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0B25EE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0B25EE">
              <w:rPr>
                <w:rFonts w:ascii="Times New Roman" w:hAnsi="Times New Roman" w:cs="Times New Roman"/>
              </w:rPr>
              <w:t>3</w:t>
            </w: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Название инвестиционного проекта</w:t>
            </w:r>
            <w:r w:rsidR="00792FBF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792FBF" w:rsidRPr="000B25EE" w:rsidRDefault="00792FBF" w:rsidP="00DB29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«Создание судостроительного комплекса «Звезда»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792FB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Краткое описание инвестиционного проекта</w:t>
            </w:r>
            <w:r w:rsidR="00DB2923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Проект предусматривает строительство верфи крупнотоннажного судостроения «Судостроительный комплекс «Звезда» и освоение ее производственных мощностей.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Реализация Проекта разделена на 2 фазы:</w:t>
            </w:r>
          </w:p>
          <w:p w:rsidR="00DB2923" w:rsidRPr="000B25EE" w:rsidRDefault="00DB2923" w:rsidP="00DB2923">
            <w:pPr>
              <w:pStyle w:val="a"/>
              <w:tabs>
                <w:tab w:val="left" w:pos="835"/>
              </w:tabs>
              <w:spacing w:before="0"/>
              <w:ind w:firstLine="268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Инвестиционная фаза - строительство верфи и подготовка ее к операционной деятельности;</w:t>
            </w:r>
          </w:p>
          <w:p w:rsidR="00DB2923" w:rsidRPr="000B25EE" w:rsidRDefault="00DB2923" w:rsidP="00DB2923">
            <w:pPr>
              <w:pStyle w:val="a"/>
              <w:tabs>
                <w:tab w:val="left" w:pos="835"/>
              </w:tabs>
              <w:spacing w:before="0"/>
              <w:ind w:firstLine="268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Эксплуатационная фаза - запуск производственных мощностей и выпуск продукции.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Строительство верфи предполагает возведение всех производственных объектов и объектов инфраструктуры, а также приобретение производственных технологий, необходимых для оптимального функционирования созданного предприятия.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По типу Проект представляет собой создание производства с нуля с реконструкцией некоторых мощностей, присутствующих на территории строительства верфи.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Инвестиционная фаза будет реализована в 3 очереди строительства, каждая из которых подразумевает постепенное расширение продуктового ряда производимой продукции. Окончание инвестиционной фазы запланировано в 2024 г. </w:t>
            </w:r>
          </w:p>
          <w:p w:rsidR="00792FBF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sz w:val="20"/>
                <w:szCs w:val="20"/>
                <w:lang w:val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Поэтапный ввод в эксплуатацию всего комплекса производств судостроительного комплекса будет завершен в конце 2024 года. При этом ввод в эксплуатацию основных производственных мощностей первой очереди строительства запланирован на 2016 год.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Участники инвестиционного проекта</w:t>
            </w:r>
            <w:r w:rsidR="00DB2923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ОАО «НК «Роснефть» и «Газпромбанк» (АО) в лице совместного предприятия ЗАО «Современные Технологии Судостроения» являются инициаторами Проекта, а вместе с ОАО «Роснефтегаз» - инвесторами Проекта. 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ОАО «ДЦСС» (Дальневосточный центр судостроения и судоремонта) – оператор проекта, включает в себя судостроительные и судоремонтные заводы в Дальневосточном федеральном округе, в том числе на Камчатке, в Хабаровском и Приморском краях.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ОАО «ДВЗ «Звезда» (Дальневосточный завод «Звезда») – заказчик-застройщик, является ведущим предприятием по ремонту подводных лодок Тихоокеанского флота и единственное на Дальнем Востоке, специализирующееся на ремонте, переоборудовании и модернизации кораблей атомных подводных ракетоносцев.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 xml:space="preserve">ОАО «ЦТСС»  (Центр технологии судостроения и судоремонта) – генеральный проектировщик, многопрофильный научно-производственный комплекс, ведущий технологический центр судостроения России, одна из крупнейших научных организаций Санкт-Петербурга. 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ФГУП «Крыловский государственный научный центр» – технический консультант, - один из крупнейших мировых исследовательских центров в области кораблестроения и проектирования.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sz w:val="20"/>
                <w:szCs w:val="20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IMG (Ingenieurtechnik und Maschinenbau GmbH) – технический консультант, одно из ведущих немецких предприятий, специализирующееся на проектировании и выпуске производственных систем для судостроительной промышленности.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599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5774F0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Ц</w:t>
            </w:r>
            <w:r w:rsidR="004373E6" w:rsidRPr="000B25EE">
              <w:rPr>
                <w:rFonts w:ascii="Times New Roman" w:hAnsi="Times New Roman"/>
                <w:b/>
                <w:sz w:val="20"/>
                <w:szCs w:val="20"/>
              </w:rPr>
              <w:t>ели инвестиционного проекта</w:t>
            </w:r>
            <w:r w:rsidR="00DB2923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обеспечение национальной безопасности и государственных интересов  в области реализации Морской Доктрины Российской Федерации;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обеспечение полноценного участия российской промышленности в реализации проектов на континентальном шельфе РФ;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повышение конкурентоспособности и бюджетной эффективности судостроительной отрасли РФ;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обеспечение экономических интересов Российской Федерации посредством создания современного флота.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44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Вклад инвестиционного проекта в достижение целей отраслевой стратегии, стратегии развития региона и целевых показателей государственных программ Российской Федерации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spacing w:val="-4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pacing w:val="-4"/>
                <w:sz w:val="20"/>
                <w:szCs w:val="28"/>
              </w:rPr>
              <w:t xml:space="preserve">Концепция проекта «Судостроительный комплекс «Звезда» сформирована в соответствии с ключевыми ориентирами </w:t>
            </w:r>
            <w:r w:rsidRPr="000B25EE">
              <w:rPr>
                <w:rFonts w:ascii="Times New Roman" w:hAnsi="Times New Roman"/>
                <w:b/>
                <w:spacing w:val="-4"/>
                <w:sz w:val="20"/>
                <w:szCs w:val="28"/>
              </w:rPr>
              <w:t xml:space="preserve"> </w:t>
            </w:r>
            <w:r w:rsidRPr="000B25EE">
              <w:rPr>
                <w:rFonts w:ascii="Times New Roman" w:hAnsi="Times New Roman"/>
                <w:b/>
                <w:i/>
                <w:spacing w:val="-4"/>
                <w:sz w:val="20"/>
                <w:szCs w:val="28"/>
              </w:rPr>
              <w:t xml:space="preserve">Стратегии развития судостроительной промышленности до 2020 года, </w:t>
            </w:r>
            <w:r w:rsidRPr="000B25EE">
              <w:rPr>
                <w:rFonts w:ascii="Times New Roman" w:hAnsi="Times New Roman"/>
                <w:spacing w:val="-4"/>
                <w:sz w:val="20"/>
                <w:szCs w:val="28"/>
              </w:rPr>
              <w:t xml:space="preserve">такими как: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топливно-энергетическая безопасность (поставка уникальных плавсооружений и необходимого технического флота для разведки и добычи углеводородного сырья на Арктическом и Дальневосточном шельфе России);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транспортная безопасность (обеспечение морского и речного флотов необходимым тоннажем для грузовых и пассажирских перевозок силами национальных перевозчиков);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продовольственная безопасность (обеспечение необходимым тоннажем рыболовного флота);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обеспечение мобилизационной готовности и устойчивого функционирования экономики в чрезвычайных ситуациях;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ликвидация критического научно-технического отставания от промышленно развитых стран мира;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формирование в судостроительной промышленности рыночно-ориентированных бизнес-структур нового поколения, обладающих потенциалом саморазвития.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Строительство новых судостроительных комплексов также предусматривается Стратегией развития судостроительной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 промышленности на период до 2020 года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. Основными целями второго и третьего  этапов данной стратегии являются: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начало освоения производства крупнотоннажных судов различного назначения;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расширение  создания судов и морской техники для государственных нужд, включая создание новых технических средств и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передовых технологий для изучения и освоения минеральных ресурсов российского шельфа и Мирового океана.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tabs>
                <w:tab w:val="left" w:pos="0"/>
                <w:tab w:val="left" w:pos="426"/>
              </w:tabs>
              <w:spacing w:after="0"/>
              <w:ind w:left="425" w:hanging="425"/>
              <w:jc w:val="both"/>
              <w:rPr>
                <w:rFonts w:ascii="Times New Roman" w:hAnsi="Times New Roman"/>
                <w:sz w:val="20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Мероприятие «Развитие производственных мощностей по судостроению на Дальнем Востоке»  входит </w:t>
            </w:r>
            <w:r w:rsidRPr="000B25EE">
              <w:rPr>
                <w:rFonts w:ascii="Times New Roman" w:hAnsi="Times New Roman"/>
                <w:i/>
                <w:sz w:val="20"/>
                <w:szCs w:val="28"/>
              </w:rPr>
              <w:t xml:space="preserve">в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Перечень основных мероприятий государственной программы Российской Федерации «Развитие судостроения на 2013 - 2030 годы», подпрограмма  «Развитие производственных мощностей гражданского судостроения и материально-технической базы отрасли».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Создание  судостроительного комплекса на ДВ РФ тесно связано с наиболее приоритетными направлениями развития  российского судостроения согласно  </w:t>
            </w:r>
            <w:r w:rsidRPr="000B25EE">
              <w:rPr>
                <w:rFonts w:ascii="Times New Roman" w:hAnsi="Times New Roman"/>
                <w:b/>
                <w:sz w:val="20"/>
                <w:szCs w:val="28"/>
              </w:rPr>
              <w:t xml:space="preserve">ГП  Российской Федерации «Развитие судостроения на 2013 - 2030 годы»,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а именно</w:t>
            </w:r>
            <w:r w:rsidRPr="000B25E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обеспечением эффективной эксплуатации Северного морского пути, превращением Северного морского пути в национальную транзитную магистраль. Решение такой комплексной задачи требует, в первую очередь, строительства ледокольного флота и транспортных судов ледового плавания, а также новых технических решений, позволяющих рентабельно перевозить транзитные грузы;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эффективным и экологически безопасным освоением морских месторождений углеводородов на континентальном шельфе в Арктической зоне Российской Федерации. Основной технической проблемой, которая должна быть решена в ближайшие десятилетия, являются производство и доставка конечного продукта переработки углеводородного сырья по конкурентным ценам. К этой общегосударственной задаче примыкает задача добычи морских биологических ресурсов, что напрямую связано с обеспечением продовольственной безопасности Российской Федерации.</w:t>
            </w:r>
          </w:p>
          <w:p w:rsidR="00FD16CC" w:rsidRPr="000B25EE" w:rsidRDefault="00FD16CC" w:rsidP="00FD16CC">
            <w:pPr>
              <w:tabs>
                <w:tab w:val="left" w:pos="0"/>
                <w:tab w:val="left" w:pos="426"/>
              </w:tabs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Цели Проекта соответствуют главной цели 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Государственной программы Российской Федерации «Развитие судостроения на 2013 - 2030 годы»</w:t>
            </w:r>
            <w:r w:rsidRPr="000B25EE">
              <w:rPr>
                <w:rFonts w:ascii="Times New Roman" w:hAnsi="Times New Roman"/>
                <w:i/>
                <w:sz w:val="20"/>
                <w:szCs w:val="28"/>
              </w:rPr>
              <w:t>,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а именно повышению конкурентоспособности судостроительной отрасли Российской Федерации в мире и обеспечению частичного удовлетворения потребностей государства и отечественного бизнеса в современной продукции судостроения.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В вышеуказанной программе государство  ставит задачу обеспечения эффективности работы судостроительной отрасли и увеличения инвестиционной привлекательности отечественного судостроения, включая достижение уровня передовых стран по качеству судостроительной продукции, чему в немалой степени будет способствовать развитие новых судостроительных мощностей на Дальнем Востоке РФ.</w:t>
            </w:r>
          </w:p>
          <w:p w:rsidR="00FD16CC" w:rsidRPr="000B25EE" w:rsidRDefault="00FD16CC" w:rsidP="00FD16CC">
            <w:pPr>
              <w:tabs>
                <w:tab w:val="left" w:pos="0"/>
                <w:tab w:val="left" w:pos="426"/>
              </w:tabs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Стратегия реализации Проекта «Создание судостроительного комплекса «Звезда» коррелирует со следующими приоритетными направлениями государственной политики в области развития судостроительной промышленности: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создание конкурентоспособной специализированной морской техники, в том числе судов и плавательных средств для освоения континентального шельфа и Северного морского пути, высокотехнологичных среднетоннажных транспортных судов и судов обеспечения, высокотехнологичных рыбопромысловых судов, морских и речных научно-исследовательских и научно-экспедиционных судов;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дальнейшее развитие и оптимизация проведенных институциональных преобразований в отрасли, переход к формированию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кластерной системы развития и построения отрасли, развитию интегрированных структур по выпуску судового оборудования, развитие лизинга морской рыбопромысловой и речной техники.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Реализация проекта СК «Звезда» будет способствовать достижению Целевых  индикаторов  и показателей 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ГП  Российской Федерации «Развитие судостроения на 2013 - 2030 годы»</w:t>
            </w:r>
            <w:r w:rsidRPr="000B25EE">
              <w:rPr>
                <w:rFonts w:ascii="Times New Roman" w:hAnsi="Times New Roman"/>
                <w:i/>
                <w:sz w:val="20"/>
                <w:szCs w:val="28"/>
              </w:rPr>
              <w:t>,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а именно: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увеличению объема выпуска гражданской продукции российского судостроения;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росту производительности труда в гражданской сфере судостроительной промышленности;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увеличению доли отечественного гражданского судостроения на мировом рынке;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увеличению доли обновленных и новых основных производственных фондов судостроительных организаций отрасли (верфей). 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Строящийся «Судостроительный комплекс «Звезда» полностью соответствует ожидаемым результатам действия  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ГП  Российской Федерации «Развитие судостроения на 2013 - 2030 годы»,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касающимся: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создания производственных мощностей, обеспечивающих строительство, ремонт и модернизацию современных крупнотоннажных судов и морской техники;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создания необходимого задела для увеличения в структуре судостроения доли высокотехнологичной продукции.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В число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принципов национальной морской политики РФ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входят: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eastAsiaTheme="minorHAnsi" w:hAnsi="Times New Roman"/>
                <w:sz w:val="20"/>
                <w:szCs w:val="28"/>
                <w:lang w:eastAsia="en-US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концентрация усилий по строительству и развитию инфраструктуры российского флота на территориях субъектов Российской Федерации, традиционно связанных с мореплаванием, унификация этой инфраструктуры для военных и хозяйственных нужд;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поддержание российского флота в готовности к решению стоящих перед ним задач, а также мобилизационной готовности торгового, рыбопромыслового, научно-исследовательского и других специализированных флотов.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b/>
                <w:bCs/>
                <w:i/>
                <w:sz w:val="20"/>
                <w:szCs w:val="28"/>
              </w:rPr>
              <w:t>Морская доктрина РФ  на период до 2020 года</w:t>
            </w:r>
            <w:r w:rsidRPr="000B25EE">
              <w:rPr>
                <w:rFonts w:ascii="Times New Roman" w:hAnsi="Times New Roman"/>
                <w:b/>
                <w:bCs/>
                <w:sz w:val="20"/>
                <w:szCs w:val="28"/>
              </w:rPr>
              <w:t xml:space="preserve"> </w:t>
            </w:r>
            <w:r w:rsidRPr="000B25EE">
              <w:rPr>
                <w:rFonts w:ascii="Times New Roman" w:hAnsi="Times New Roman"/>
                <w:bCs/>
                <w:sz w:val="20"/>
                <w:szCs w:val="28"/>
              </w:rPr>
              <w:t xml:space="preserve">относит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задачи  строительства флота и  создание условий, стимулирующих строительство флота на отечественных предприятиях к числу приоритетных задач государства. 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Одним из ключевых направлений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Морской Доктрины РФ на период до 2020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года является разработка известных месторождений и интенсивная разведка нефти и природного газа на континентальном шельфе Российской Федерации, что невозможно осуществить без строительства современной морской техники на территории Российской Федерации.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eastAsiaTheme="minorHAnsi" w:hAnsi="Times New Roman"/>
                <w:sz w:val="20"/>
                <w:szCs w:val="28"/>
                <w:lang w:eastAsia="en-US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Увеличение объемов строительства новых судов при запуске в работу нового судостроительного комплекса «Звезда»  приведет к эффектам, описанным в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ФЗ «О внесении изменений в отдельные законодательные акты Российской Федерации в связи с реализацией мер по поддержке российского судостроения и судоходства»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- к увеличению налоговых поступлений в бюджетную систему России от таких отраслей экономики как судостроение, металлургия, машиностроение, химическая промышленность, перевозка грузов, содержание речной инфраструктуры.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В социально-экономической сфере эксплуатация нового судостроительного комплекса будет способствовать сохранению и расширению числа рабочих мест, повышению спроса на квалифицированные научно-технические кадры, улучшение их возрастной структуры, а так же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повышению производительности труда и уровня его оплаты.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Проект Судостроительного комплекса «Звезда» является ключевым  этапом развития судостроения на Дальнем Востоке. В целях развития судостроения и повышения эффективности освоения континентального шельфа Российской Федерации в районах Дальнего Востока и Арктики  21 июля 2014г подписан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Указ Президента РФ «О Развития судостроения на Дальнем Востоке»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,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12 сентября 2014 года подписано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Распоряжение Правительства №1804-Р «О развитии судостроения на Дальнем Востоке».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Стратегия социально-экономического развития Дальнего Востока и Байкальского региона на период до 2025 года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 в качестве одного из ведущих направлений развития ДФО, планируемых к реализации в 2010-2020 годах и на период до 2025 года,   выделяет  развитие производственного комплекса открытого акционерного общества «Дальневосточный завод «Звезда» и</w:t>
            </w:r>
            <w:r w:rsidRPr="000B25EE">
              <w:rPr>
                <w:rFonts w:ascii="Times New Roman" w:hAnsi="Times New Roman"/>
                <w:i/>
                <w:color w:val="000000"/>
                <w:sz w:val="20"/>
                <w:szCs w:val="28"/>
              </w:rPr>
              <w:t xml:space="preserve"> </w:t>
            </w:r>
            <w:r w:rsidRPr="000B25EE">
              <w:rPr>
                <w:rFonts w:ascii="Times New Roman" w:hAnsi="Times New Roman"/>
                <w:color w:val="000000"/>
                <w:sz w:val="20"/>
                <w:szCs w:val="28"/>
              </w:rPr>
              <w:t>обозначает следующие перспективы развития судостроения  на Дальнем Востоке – «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Приморский край станет одним из центров производства судов различных классов и оборудования для освоения континентального шельфа.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Данная стратегия является концептуальной схемой, концентрирующейся на ключевых конкурентных преимуществах края, а также на механизмах реализации этих преимуществ. Стратегия задает общие ориентиры будущего развития социальной и экономической системы для органов государственной власти края, бизнеса, потенциальных инвесторов, является базой для  разработки планов, программ, проектов, прогнозов. Реализация проекта соответствует данным ориентирам.</w:t>
            </w:r>
          </w:p>
          <w:p w:rsidR="00512D5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«Судостроительный кластер на Дальнем Востоке должен стать крупным производственным центром, который будет выпускать и обслуживать суда разных классов, прежде всего для нашего внутреннего рынка. Такой запрос со стороны отечественных покупателей есть, а значит, новые судостроительные мощности будут востребованы»</w:t>
            </w:r>
            <w:r w:rsidRPr="000B25EE">
              <w:rPr>
                <w:rFonts w:ascii="Times New Roman" w:hAnsi="Times New Roman"/>
                <w:b/>
                <w:sz w:val="20"/>
                <w:szCs w:val="28"/>
              </w:rPr>
              <w:t xml:space="preserve"> -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из выступления Президента РФ В. В. Путина на </w:t>
            </w:r>
            <w:r w:rsidRPr="000B25EE">
              <w:rPr>
                <w:rFonts w:ascii="Times New Roman" w:hAnsi="Times New Roman"/>
                <w:b/>
                <w:bCs/>
                <w:i/>
                <w:sz w:val="20"/>
                <w:szCs w:val="28"/>
              </w:rPr>
              <w:t>совещании по вопросу создания судостроительного кластера на базе ОАО «Дальневосточный завод «Звезда» в г.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 Владивостоке, 13 ноября  2014г.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Оценка потенциального спроса и (или) объема рынка на продукцию (услуги)</w:t>
            </w:r>
            <w:r w:rsidR="00096CF6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Для проекта создания Судостроительного комплекса «Звезда» будет характерно решение первоочередной задачи российского судостроения по преодолению исторически сложившегося технологического отставания в части организации производства гражданского судостроения путем внедрения новейших судостроительных технологий и соответствия лучшим мировым показателям производительности труда.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Однако выход на сложившийся внешний рынок судостроительной продукции в традиционном транспортном судостроении (балкеры и танкеры неледового плавания либо низших ледовых классов) будет затруднен по объективным причинам. Конкуренция с Китаем, Японией и Кореей в строительстве транспортных судов массовой постройки бесперспективна по причине отсутствия схожих граничных условий функционирования.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Исходя из динамики развития энергетической отрасли и конкурентных преимуществ будущих судостроительных мощностей Проекта, наиболее перспективным для России или для проекта будет рынок гражданского судостроения, связанный с добычей и транспортировкой жидких углеводородов с шельфовых месторождений, где расположены крупнейшие запасы углеводородов. 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Драйвером роста спроса на продукцию судостроения в России станет потребность в уникальных морских буровых установках и нефтегазовых сооружениях (добычных платформ) и, соответственно, судах обслуживающего флота.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По заключению отраслевых экспертов</w:t>
            </w:r>
            <w:r w:rsidRPr="000B25EE">
              <w:rPr>
                <w:rFonts w:ascii="Times New Roman" w:hAnsi="Times New Roman"/>
                <w:sz w:val="20"/>
                <w:szCs w:val="28"/>
              </w:rPr>
              <w:footnoteReference w:id="1"/>
            </w:r>
            <w:r w:rsidRPr="000B25EE">
              <w:rPr>
                <w:rFonts w:ascii="Times New Roman" w:hAnsi="Times New Roman"/>
                <w:sz w:val="20"/>
                <w:szCs w:val="28"/>
              </w:rPr>
              <w:t>, перспективный рынок продукции проекта включает разнообразную номенклатуру сложных наукоемких морских судов обслуживающего флота, морскую технику для изучения и освоения нефтегазового потенциала континентального шельфа России, буксиры, спасатели, принципиально новые крупно- и среднетоннажные суда усиленного ледового класса (танкеры и газовозы).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Основными заказчиками судов и морской техники в России являются</w:t>
            </w:r>
            <w:r w:rsidRPr="000B25EE">
              <w:rPr>
                <w:rFonts w:ascii="Times New Roman" w:hAnsi="Times New Roman"/>
                <w:sz w:val="20"/>
                <w:szCs w:val="28"/>
              </w:rPr>
              <w:footnoteReference w:id="2"/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судоходные и нефтегазовые компании, реализующие проекты в Арктических широтах и на Дальнем Востоке России: 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«НК «Роснефть» (включая совместные предприятия);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«Газпром» (в том  числе компания «Сахалин Энерджи Инвестмент компани Лтд», ОАО «Газпром нефть», ООО «Газфлот»)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«Лукойл»;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«НОВАТЭК», в том числе ОАО «Ямал СПГ»;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«Сибур»;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 xml:space="preserve">ОАО «Совкомфлот»; 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«Приморское морское пароходство»;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«Мурманское морское пароходство»;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 xml:space="preserve">ОАО «Дальневосточное морское пароходство»; 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«Сахалинское морское пароходство»;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Группа компаний «Фемко»;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«Феско»;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ФГУП «Росморпорт»;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ФГУП «Атомфлот»;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и др.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 xml:space="preserve">Именно указанные компании будут генерировать основной спрос на продукцию судостроительного комплекса «Звезда». 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Учитывая общегосударственную значимость Проекта, оценка потенциального спроса, предложения и загрузки проводилась на условиях открытости информации со стороны основных заказчиков.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ОАО «НК «Роснефть», ОАО «Газпром», ОАО «Лукойл», ОАО</w:t>
            </w:r>
            <w:r w:rsidRPr="000B25EE">
              <w:rPr>
                <w:rFonts w:eastAsia="Times New Roman"/>
                <w:sz w:val="20"/>
                <w:szCs w:val="28"/>
                <w:lang w:val="ru-RU" w:eastAsia="ru-RU"/>
              </w:rPr>
              <w:t> </w:t>
            </w: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«Совкомфлот», ФГУП «Росморпорт»</w:t>
            </w:r>
            <w:r w:rsidRPr="000B25EE">
              <w:rPr>
                <w:rFonts w:eastAsia="Times New Roman"/>
                <w:sz w:val="20"/>
                <w:szCs w:val="28"/>
                <w:lang w:val="ru-RU" w:eastAsia="ru-RU"/>
              </w:rPr>
              <w:t xml:space="preserve"> и другими предприятиями были </w:t>
            </w:r>
            <w:r w:rsidRPr="000B25EE">
              <w:rPr>
                <w:rFonts w:eastAsia="Times New Roman"/>
                <w:sz w:val="20"/>
                <w:szCs w:val="28"/>
                <w:lang w:val="ru-RU" w:eastAsia="ru-RU"/>
              </w:rPr>
              <w:lastRenderedPageBreak/>
              <w:t xml:space="preserve">спрогнозированы долгосрочные потребности в продукции судостроении на основании своих инвестиционных планов.  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 xml:space="preserve">В соответствии с поручениями Правительства Российской Федерации (от 5 апреля 2013 г. № РД-П7-2202,) под руководством Минпромторга России и с привлечением отраслевых экспертов (ФГУП «Крыловский государственный научный центр») в течение 2013-2014 гг. был консолидирован суммарный объем рынка российского рынка. 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Общее количество судов и морской техники, планируемых к постройке до 2030 года составило практически 8000 ед., включая внутренний водный транспорт.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Более подробно потребности российских заказчиков в судах и морской технике описаны в бизнес-плане Проекта.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E7184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Срок реализации инвестиционного проекта</w:t>
            </w:r>
          </w:p>
          <w:p w:rsidR="00366F45" w:rsidRPr="000B25EE" w:rsidRDefault="00366F45" w:rsidP="00E7184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2012-</w:t>
            </w:r>
            <w:r w:rsidR="00E7184C" w:rsidRPr="000B25EE">
              <w:rPr>
                <w:rFonts w:ascii="Times New Roman" w:hAnsi="Times New Roman"/>
                <w:sz w:val="20"/>
                <w:szCs w:val="20"/>
              </w:rPr>
              <w:t>2024 гг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E7184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Фаза строительства</w:t>
            </w:r>
          </w:p>
          <w:p w:rsidR="00366F45" w:rsidRPr="000B25EE" w:rsidRDefault="0033729E" w:rsidP="003372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расширенная очередь - </w:t>
            </w:r>
            <w:r w:rsidR="00E7184C" w:rsidRPr="000B25EE">
              <w:rPr>
                <w:rFonts w:ascii="Times New Roman" w:hAnsi="Times New Roman"/>
                <w:sz w:val="20"/>
                <w:szCs w:val="20"/>
              </w:rPr>
              <w:t>2012-20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19</w:t>
            </w:r>
            <w:r w:rsidR="00E7184C" w:rsidRPr="000B25EE">
              <w:rPr>
                <w:rFonts w:ascii="Times New Roman" w:hAnsi="Times New Roman"/>
                <w:sz w:val="20"/>
                <w:szCs w:val="20"/>
              </w:rPr>
              <w:t xml:space="preserve"> гг</w:t>
            </w:r>
          </w:p>
          <w:p w:rsidR="0033729E" w:rsidRPr="000B25EE" w:rsidRDefault="0033729E" w:rsidP="003372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очередь – 2018 – 2022 гг.</w:t>
            </w:r>
          </w:p>
          <w:p w:rsidR="0033729E" w:rsidRPr="000B25EE" w:rsidRDefault="0033729E" w:rsidP="003372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очередь – 2021 – 2024 гг.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7.2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E7184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Фаза эксплуатации</w:t>
            </w:r>
          </w:p>
          <w:p w:rsidR="00366F45" w:rsidRPr="000B25EE" w:rsidRDefault="00E7184C" w:rsidP="00E7184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 2016 г.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Объем капитальных вложений в реальных ценах</w:t>
            </w:r>
          </w:p>
          <w:p w:rsidR="008E7A4D" w:rsidRPr="000B25EE" w:rsidRDefault="00B32747" w:rsidP="00E0671A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145 483 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. руб. 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Объем финансирования</w:t>
            </w:r>
          </w:p>
          <w:p w:rsidR="00B32747" w:rsidRPr="000B25EE" w:rsidRDefault="00B32747" w:rsidP="00E0671A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145 483 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. 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Заемное финансирование, планируемый срок погашения кредитов и займов</w:t>
            </w:r>
          </w:p>
          <w:p w:rsidR="008E7A4D" w:rsidRPr="000B25EE" w:rsidRDefault="00D5043C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7</w:t>
            </w:r>
            <w:r w:rsidR="00121D04" w:rsidRPr="000B25EE">
              <w:rPr>
                <w:rFonts w:ascii="Times New Roman" w:hAnsi="Times New Roman"/>
                <w:sz w:val="20"/>
                <w:szCs w:val="20"/>
              </w:rPr>
              <w:t>3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121D04" w:rsidRPr="000B25EE">
              <w:rPr>
                <w:rFonts w:ascii="Times New Roman" w:hAnsi="Times New Roman"/>
                <w:sz w:val="20"/>
                <w:szCs w:val="20"/>
              </w:rPr>
              <w:t>000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>. руб. — за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ймы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 xml:space="preserve"> ЗАО «СТС»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>(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>погашение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по действующим договорам займа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 xml:space="preserve">сентябре </w:t>
            </w:r>
            <w:r w:rsidR="000C58D4" w:rsidRPr="000B25EE">
              <w:rPr>
                <w:rFonts w:ascii="Times New Roman" w:hAnsi="Times New Roman"/>
                <w:sz w:val="20"/>
                <w:szCs w:val="20"/>
              </w:rPr>
              <w:t>2018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 — 12,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0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 млрд. руб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.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>, погашение планируемых к привлечению займов — с 2023 по 2025 гг.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>;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21D04" w:rsidRPr="005774F0" w:rsidRDefault="00B32747" w:rsidP="00121D04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12</w:t>
            </w:r>
            <w:r w:rsidR="00D5043C"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0C58D4" w:rsidRPr="000B25EE">
              <w:rPr>
                <w:rFonts w:ascii="Times New Roman" w:hAnsi="Times New Roman"/>
                <w:sz w:val="20"/>
                <w:szCs w:val="20"/>
              </w:rPr>
              <w:t>350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. руб. — кредит АО «Газпромбанк» 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>(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погашение по действующему 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 xml:space="preserve">кредитному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договору: 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2016 г. 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>—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 10,2 млрд. руб., 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2017 г.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>—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 2,15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>млрд. руб.)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Собственный капитал</w:t>
            </w:r>
          </w:p>
          <w:p w:rsidR="00B32747" w:rsidRPr="000B25EE" w:rsidRDefault="00D5043C" w:rsidP="00121D04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54 5</w:t>
            </w:r>
            <w:r w:rsidR="00121D04" w:rsidRPr="000B25EE">
              <w:rPr>
                <w:rFonts w:ascii="Times New Roman" w:hAnsi="Times New Roman"/>
                <w:sz w:val="20"/>
                <w:szCs w:val="20"/>
              </w:rPr>
              <w:t>33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. руб. — собственные средства ООО «ССК «Звезда» 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9.3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0C58D4" w:rsidRPr="000B25EE">
              <w:rPr>
                <w:rFonts w:ascii="Times New Roman" w:hAnsi="Times New Roman"/>
                <w:sz w:val="20"/>
                <w:szCs w:val="20"/>
              </w:rPr>
              <w:t>партнёра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по инвестиционному проекту</w:t>
            </w:r>
          </w:p>
          <w:p w:rsidR="00B32747" w:rsidRPr="000B25EE" w:rsidRDefault="00B32747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0 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Бюджетные средства</w:t>
            </w:r>
          </w:p>
          <w:p w:rsidR="008E7A4D" w:rsidRPr="000B25EE" w:rsidRDefault="008E7A4D" w:rsidP="00E0671A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5</w:t>
            </w: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600</w:t>
            </w: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млн.</w:t>
            </w: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руб. — Субсидия на уплату процентов по ранее привлечённым кредитам за счёт средств федерального бюджета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9.5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Средства Фонда национального благосостояния (с указанием предельного объема средств Фонда национального благосостояния, предельного срока и минимальной доходности их размещения)</w:t>
            </w:r>
          </w:p>
          <w:p w:rsidR="00B32747" w:rsidRPr="000B25EE" w:rsidRDefault="00B32747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0 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9.6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Средства пенсионных накоплений</w:t>
            </w:r>
          </w:p>
          <w:p w:rsidR="00B32747" w:rsidRPr="000B25EE" w:rsidRDefault="00B32747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0 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Рейтинг долгосрочной кредитоспособности инициатора (если применимо)</w:t>
            </w:r>
          </w:p>
          <w:p w:rsidR="00552260" w:rsidRPr="000B25EE" w:rsidRDefault="00552260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 xml:space="preserve">ОАО «НК Роснефть» рейтинг </w:t>
            </w: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&amp;</w:t>
            </w: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BB+ (http://www.rosneft.ru/Investors/instruments/Ratings/)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6E6378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Социальные эффекты от инвестиционного проекта</w:t>
            </w:r>
          </w:p>
          <w:p w:rsidR="006E6378" w:rsidRPr="000B25EE" w:rsidRDefault="006E6378" w:rsidP="0043226E">
            <w:pPr>
              <w:pStyle w:val="a5"/>
              <w:tabs>
                <w:tab w:val="left" w:pos="410"/>
                <w:tab w:val="left" w:pos="552"/>
              </w:tabs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Создание судостроительного кластера на базе Проекта СК «Звезда» будет способствовать экономическому росту Дальневосточного региона, а также оказывать существенное положительное влияние на состояние местной социальной сферы вследствие следующих факторов: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локализация на одной территории основных участников кластерной системы;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стимулирование увеличения количества малых и средних предприятий;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 xml:space="preserve">синергетический эффект и повышение конкурентоспособности входящих в кластер предприятий; 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повышение эффективности системы подготовки кадров;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возможность создания рабочих мест и привлечения населения в регион, а также повышения производительности труда за счет внедрения современных технологий;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построение судостроительного сектора в Дальневосточном регионе России путем развития центров исследования и разработок, центров обучения и сети поставок;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120" w:line="240" w:lineRule="auto"/>
              <w:ind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дополнительные налоговые поступления в бюджеты всех уровней.</w:t>
            </w:r>
          </w:p>
          <w:p w:rsidR="006E6378" w:rsidRPr="000B25EE" w:rsidRDefault="006E6378" w:rsidP="0043226E">
            <w:pPr>
              <w:pStyle w:val="a5"/>
              <w:tabs>
                <w:tab w:val="left" w:pos="410"/>
                <w:tab w:val="left" w:pos="552"/>
              </w:tabs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Только на Проекте СК «Звезда» будет создано около 7 тыс. новых рабочих мест (на 1 рабочее место в судостроении приходится 7 рабочих мест в смежных отраслях).</w:t>
            </w:r>
          </w:p>
          <w:p w:rsidR="006E6378" w:rsidRPr="000B25EE" w:rsidRDefault="006E6378" w:rsidP="0043226E">
            <w:pPr>
              <w:pStyle w:val="a5"/>
              <w:tabs>
                <w:tab w:val="left" w:pos="410"/>
                <w:tab w:val="left" w:pos="552"/>
              </w:tabs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Планируемые социальные и экономические эффекты от создания судостроительного кластера: 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увеличение доли локализации до 70%;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увеличение доли современных технологий до 90%;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рост загрузки мощностей судостроения до 70-75%;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доля обновленных производственных фондов 60-70%;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12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рост производительности труда в отрасли в 3-3,5 раза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43226E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Создание объектов социальной инфраструктуры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 xml:space="preserve">Проект строительства судостроительного комплекса «Звезда» имеет государственное значение для развития судостроительной отрасли, а также важное значение для социально-экономического развития дальневосточного региона. Реализация проекта влечет за собой необходимость решения широкого круга вопросов социального характера, в том числе основного вопроса – обеспечения жильем работников верфи и их семей в ГО Большой Камень. 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В соответствии с п.5 перечня поручений Пр-2747 от 28 ноября 2014 г., п.8 Пр-1919 от 23 сентября 2015 г. решение вопроса обеспечения жильем сотрудников судостроительного комплекса возложено на АО «Фонд развития Дальнего Востока и Байкальского региона», Администрацию Приморского края и ОАО «Агентство по ипотечному жилищному кредитованию» совместно с Минфином России, Минстроем России и другими органами государственной власти и организациями.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Для целей обеспечения жильём работников СК «Звезда» во взаимодействии с администрацией Большого Камня отобраны три земельных участка, расположенных в зоне жилой застройки под строительство микрорайонов «Шестой», «Парковый» и «Садовый». Администрацией городского округа Большой Камень участки зарезервированы и поставлены на кадастровый учет.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 xml:space="preserve">Принято решение начать работы с застройки микрорайона «Шестой» в ГО Большой Камень. 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 xml:space="preserve">Согласно </w:t>
            </w:r>
            <w:r w:rsidR="0043226E" w:rsidRPr="000B25EE">
              <w:rPr>
                <w:spacing w:val="0"/>
                <w:sz w:val="20"/>
                <w:szCs w:val="20"/>
                <w:lang w:eastAsia="ru-RU"/>
              </w:rPr>
              <w:t>плану поэтапного ввода жилого фонда и социальной инфраструктуры, составленному Минвостокразвития России ввод в эксплуатацию жилых домов планируется следующим образом:</w:t>
            </w:r>
          </w:p>
          <w:p w:rsidR="0043226E" w:rsidRPr="000B25EE" w:rsidRDefault="0043226E" w:rsidP="004E673D">
            <w:pPr>
              <w:pStyle w:val="4"/>
              <w:numPr>
                <w:ilvl w:val="0"/>
                <w:numId w:val="4"/>
              </w:numPr>
              <w:shd w:val="clear" w:color="auto" w:fill="auto"/>
              <w:spacing w:after="0" w:line="300" w:lineRule="auto"/>
              <w:ind w:right="40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Строительство 3-х домов (210 квартир, 525 жителей</w:t>
            </w:r>
            <w:r w:rsidR="00BC2AA9" w:rsidRPr="000B25EE">
              <w:rPr>
                <w:spacing w:val="0"/>
                <w:sz w:val="20"/>
                <w:szCs w:val="20"/>
                <w:lang w:eastAsia="ru-RU"/>
              </w:rPr>
              <w:t>, ответственный – ОАО «ДВЗ «Звезда»</w:t>
            </w:r>
            <w:r w:rsidRPr="000B25EE">
              <w:rPr>
                <w:spacing w:val="0"/>
                <w:sz w:val="20"/>
                <w:szCs w:val="20"/>
                <w:lang w:eastAsia="ru-RU"/>
              </w:rPr>
              <w:t>):</w:t>
            </w:r>
          </w:p>
          <w:p w:rsidR="0043226E" w:rsidRPr="000B25EE" w:rsidRDefault="0043226E" w:rsidP="004E673D">
            <w:pPr>
              <w:pStyle w:val="4"/>
              <w:shd w:val="clear" w:color="auto" w:fill="auto"/>
              <w:spacing w:after="0" w:line="300" w:lineRule="auto"/>
              <w:ind w:left="23" w:right="40" w:firstLine="782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- 1 дом –II квартал 2017 года</w:t>
            </w:r>
            <w:r w:rsidR="00BC2AA9" w:rsidRPr="000B25EE">
              <w:rPr>
                <w:spacing w:val="0"/>
                <w:sz w:val="20"/>
                <w:szCs w:val="20"/>
                <w:lang w:eastAsia="ru-RU"/>
              </w:rPr>
              <w:t>;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3" w:right="40" w:firstLine="782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lastRenderedPageBreak/>
              <w:t>- 1 дом –III квартал 2017 года;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3" w:right="40" w:firstLine="782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- 1 дом –IV квартал 2017 года.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0" w:right="40" w:firstLine="390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2) Строительство 3-х домов (750 квартир, 1 875 жителей, ответственный – Администрация Приморского края): IV квартал 2017 года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0" w:right="40" w:firstLine="390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3) Строительство I очереди - 8 домов (1 582 квартиры, 4 021 житель, ответственный – Фонд развития Дальнего Востока): II квартал 2018 года</w:t>
            </w:r>
          </w:p>
          <w:p w:rsidR="009E331D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3" w:right="40" w:firstLine="391"/>
              <w:rPr>
                <w:sz w:val="20"/>
                <w:szCs w:val="20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4) Строительство II очереди – 3 домов (720 квартир, 1 614 жителей</w:t>
            </w:r>
            <w:r w:rsidR="004E673D" w:rsidRPr="000B25EE">
              <w:rPr>
                <w:spacing w:val="0"/>
                <w:sz w:val="20"/>
                <w:szCs w:val="20"/>
                <w:lang w:eastAsia="ru-RU"/>
              </w:rPr>
              <w:t>, ответственный – Фонд развития Дальнего Востока</w:t>
            </w:r>
            <w:r w:rsidRPr="000B25EE">
              <w:rPr>
                <w:spacing w:val="0"/>
                <w:sz w:val="20"/>
                <w:szCs w:val="20"/>
                <w:lang w:eastAsia="ru-RU"/>
              </w:rPr>
              <w:t>)</w:t>
            </w:r>
            <w:r w:rsidR="004E673D" w:rsidRPr="000B25EE">
              <w:rPr>
                <w:spacing w:val="0"/>
                <w:sz w:val="20"/>
                <w:szCs w:val="20"/>
                <w:lang w:eastAsia="ru-RU"/>
              </w:rPr>
              <w:t>: I квартал 2020 года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Риски реализации инвестиционного проекта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Технологические и инфраструктурные риски — Риск получения продукции низкого качества или невыхода на запланированную мощность по причине ошибок при проектировании, ошибок при инжиниринге или ненадлежащего контроля за процессом производства/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сырьевой базы — Риск заключается в невозможности получения требуемого сырья (сталь, комплектующие), его несвоевременном получении или получении недостаточного качества.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команды проекта и персонала — Отсутствие необходимых навыков, опыта и квалификации у менеджмента для реализации запланированного Проекта, невозможность привлечения квалифицированного персонала.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Экологические, социальные и репутационные риски — Риск негативного воздействия на окружающую среду вследствие реализации проекта, риски, связанные с производственной и управле</w:t>
            </w:r>
            <w:r w:rsidR="00660FB4" w:rsidRPr="000B25EE">
              <w:rPr>
                <w:rFonts w:ascii="Times New Roman" w:hAnsi="Times New Roman"/>
                <w:sz w:val="20"/>
                <w:szCs w:val="20"/>
              </w:rPr>
              <w:t>нческой деятельностью компании.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задержки запуска производства — Риск связан с задержкой завершения строительства завода и задержкой выхода производства на плановую загрузку.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Валютный риск — связан с возможностью финансовых потерь, вызванных изменениями курсов валют, в случаях, когда денежные потоки выражены в разных валютах.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недоступности кредитных ресурсов — Невозможность привлечения кредитных ресурсов для финансирования проекта на приемлемых условиях.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недофинансирования — Риск связан с непредоставлением и/или несвоевременным предоставлением дополнительного финансирования в случае превышения фактических капитальных затрат по Проекту над плановыми.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Рыночные риски, риск снижения спроса на продукцию, обусловленный внешними факторами — Рыночный риск заключается в возможном негативном изменении рыночной конъюнктуры, ведущем к невозможности погашения кредитов из-за падения цен и/или объемов продаж. Уменьшение покупательной способности основных заказчиков, например изменение конъюнктуры на мировом рынке нефти и газа, которая может привести к снижению цен на углеводороды.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Политический риск — Риск финансовых потерь в случае ужесточения санкций в отношении России, например, отложенный спрос на продукцию офшорного судостроения (в случае откладывания проектов добычи углеводородов на шельфовых месторождениях). Отраслевые риски, связанные с взаимоотношениями с естественными монополиями РФ, министерствами (торговли, обороны и т.п.).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Внешнеполитические риски — Невозможность использования  наработок, опыта, ноу-хау в проектировании верфи, технологических схем, организации производства передовых зарубежных консультантов STX, IMG, DSME, Samsung. Объединение российских арктических технологий с современной технологией по строительства судов, разработанной компанией IMG.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законодательных изменений — Негативные изменения в законодательстве (например, налоговом), приводящие к снижению показателей эффективности проекта.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Инфляционный риск — Риск увеличения стоимости основных ресурсов, необходимых для производства (материалы, оборудование, ФОТ и т.д.).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Форс-мажорные риски — Природные явления, имеющие стихийный характер (например, землетрясения или пожары),  экстремальные ситуации (война, эпидемии, забастовки, противоправные действия третьих лиц),  запретительные акты государства: объявление чрезвычайного положения, запрет передвижения в определённые районы.</w:t>
            </w:r>
          </w:p>
          <w:p w:rsidR="006923E8" w:rsidRPr="000B25EE" w:rsidRDefault="00660FB4" w:rsidP="00660FB4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Инструменты и мероприятия по минимизации рисков приведены в бизнес-плане.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Анализ сильных и слабых сторон, возможностей и угроз инвестиционного проекта</w:t>
            </w:r>
          </w:p>
          <w:tbl>
            <w:tblPr>
              <w:tblW w:w="12507" w:type="dxa"/>
              <w:tblBorders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2"/>
              <w:gridCol w:w="6095"/>
            </w:tblGrid>
            <w:tr w:rsidR="006923E8" w:rsidRPr="000B25EE" w:rsidTr="00AC6F75"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Сильные стороны (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S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)</w:t>
                  </w: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Слабые стороны (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W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)</w:t>
                  </w:r>
                </w:p>
              </w:tc>
            </w:tr>
            <w:tr w:rsidR="006923E8" w:rsidRPr="000B25EE" w:rsidTr="00AC6F75">
              <w:trPr>
                <w:trHeight w:val="1131"/>
              </w:trPr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Наличие подтвержденного спроса на морскую технику и суда ледового класса со стороны крупных российских заказчиков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В Проекте используется технология крупноблочной сборки судов и морской техники, широко применяемая лидерами мирового судостроения, но мало используемая в РФ. Данная технология позволит значительно сократить сроки и стоимость строительства судов и морской техники в РФ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Проект реализуется «с нуля», а не посредством модернизации существующего производства, что позволит выстроить технологическую цепочку максимально эффективно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Невысокая конкуренция со стороны российских предприятий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Выгодное месторасположение планируемой верфи – вблизи маршрутов транспортировки углеводородного сырья от месторождений Сахалинского шельфа и крупных промышленных центров и транспортных узлов Приморского края, максимальная близость к шельфовым месторождениям Северо-Восточной Арктики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Прямое указание Президента Российской Федерации о размещении заказов на строительство морской техники только на отечественных верфях и, как результат, преимущественное позиционирование ДЦСС, способствующее получению контрактов от внутрироссийских </w:t>
                  </w:r>
                  <w:r w:rsidRPr="000B25EE">
                    <w:rPr>
                      <w:rFonts w:ascii="Times New Roman" w:hAnsi="Times New Roman"/>
                      <w:sz w:val="20"/>
                    </w:rPr>
                    <w:lastRenderedPageBreak/>
                    <w:t>заказчиков;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Создание собственного инжинирингового центра. Повышение эффективности работы в связке «Конструкторское бюро-верфь» путем  кооперации с ведущими зарубежными судостроительными предприятиями, нацеленными на передачу российской стороне компетенций и технологий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18" w:hangingChars="59" w:hanging="118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Текущая стоимость рабочей силы в России считается более выгодной работодателю по сравнению с другими странами с развитой судостроительной отраслью</w:t>
                  </w: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lastRenderedPageBreak/>
                    <w:t xml:space="preserve">Неопределенность с доступностью дополнительного финансирования на капитальные расходы и оборотные средства без правительственной поддержки. В текущей ситуации на рынках капитала, долгосрочное проектное финансирование недоступно, а использование краткосрочного финансирования экономически нецелесообразно. 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Недостаточное количество опытных работников судостроительной отрасли в области проектирования и производства, дефицит проектировщиков и квалифицированных кадров (например, по сравнению с северо-западным регионом РФ), ограничения по найму и подготовке квалифицированных кадров, низкая локализация поставщиков материалов и комплектующих, высокая доля импорта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Отсутствие в регионе реализации Проекта производителей стали, которая требуется в больших количествах, высокая зависимость от тарифов на ЖД перевозку 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18" w:hangingChars="59" w:hanging="118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Недостаточная подготовленность необходимой инфраструктуры (жилье для сотрудников верфи, соцкультбыт и т. п.) для привлечения значительного количества трудовых ресурсов, необходимость понесения значительных связанных с этим затрат </w:t>
                  </w:r>
                  <w:r w:rsidRPr="000B25EE">
                    <w:rPr>
                      <w:rFonts w:ascii="Times New Roman" w:hAnsi="Times New Roman"/>
                      <w:sz w:val="20"/>
                    </w:rPr>
                    <w:lastRenderedPageBreak/>
                    <w:t>на социально-бытовое обеспечение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18" w:hangingChars="59" w:hanging="118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Длительные сроки принятия и реализации корпоративных решений и решений государственного уровня по Проекту </w:t>
                  </w:r>
                </w:p>
              </w:tc>
            </w:tr>
            <w:tr w:rsidR="006923E8" w:rsidRPr="000B25EE" w:rsidTr="00AC6F75"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lastRenderedPageBreak/>
                    <w:t>Возможности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 xml:space="preserve"> (O)</w:t>
                  </w: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Угрозы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 xml:space="preserve"> (T)</w:t>
                  </w:r>
                </w:p>
              </w:tc>
            </w:tr>
            <w:tr w:rsidR="006923E8" w:rsidRPr="000B25EE" w:rsidTr="00AC6F75"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Развитие законодательных инициатив и ускорение принятия необходимых нормативно-правовых актов в сфере модернизации судостроительной промышленности, в том числе в рамках реформирования российской налоговой системы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Разработка крупных шельфовых месторождений будет способствовать формированию устойчивого спроса на продукцию, существующих мощностей для производства которой в России недостаточно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Возможности по кооперации с предприятиями Азиатско-Тихоокеанского региона и использованию технологий ведущих мировых судостроительных компаний, в том числе по направлению импортозамещения в случае интенсификации  экономических санкций 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Возможность подготовки высококвалифицированных кадров в собственном Учебном центре и в процессе стажировок на крупнейших (ведущих) зарубежных предприятиях отрасли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 При достижении плановых показателей эффективности – возможность выхода верфи на внешние рынки</w:t>
                  </w:r>
                </w:p>
                <w:p w:rsidR="006923E8" w:rsidRPr="000B25EE" w:rsidRDefault="006923E8" w:rsidP="00183B5E">
                  <w:pPr>
                    <w:spacing w:after="60"/>
                    <w:ind w:left="142" w:hanging="142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Экономическая эффективность Проекта в значительной степени зависит от колебаний цен на сталь, на начальном этапе от импортных комплектующих и оборудования, уровня инфляции и курсов обмена валют, которые достаточно волатильны на текущий момент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jc w:val="both"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Спад мировой экономики и медленные темпы ее восстановления могут привести к сокращению спроса и продолжению тенденции к снижению цены на газ и нефть, что повлечет уменьшение спроса на продукцию судостроения.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jc w:val="both"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Угроза запрета на поставки оборудования для строительства судов и морской техники и ее комплектующих, а также наработок, ноу-хау в проектировании верфи, технологических схем, организации производства передовых зарубежных консультантов по причине введения внешних экономических санкций.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jc w:val="both"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Угроза повышения тарифов на ЖД перевозки стали, отсутствие свободных мощностей транспортной системы для перевозки объемов стали, необходимых для реализации Проекта</w:t>
                  </w:r>
                </w:p>
              </w:tc>
            </w:tr>
          </w:tbl>
          <w:p w:rsidR="006923E8" w:rsidRPr="000B25EE" w:rsidRDefault="006923E8" w:rsidP="0035078B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Ответственный исполнитель по инвестиционному проекту и его контактные данные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</w:tbl>
    <w:p w:rsidR="004373E6" w:rsidRPr="000B25EE" w:rsidRDefault="004373E6" w:rsidP="004373E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p w:rsidR="00A73319" w:rsidRDefault="00A73319"/>
    <w:sectPr w:rsidR="00A73319" w:rsidSect="00E635EA">
      <w:headerReference w:type="default" r:id="rId8"/>
      <w:pgSz w:w="16838" w:h="11906" w:orient="landscape"/>
      <w:pgMar w:top="1701" w:right="1134" w:bottom="850" w:left="1134" w:header="708" w:footer="708" w:gutter="0"/>
      <w:pgNumType w:start="3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04A" w:rsidRDefault="0097504A" w:rsidP="00096CF6">
      <w:pPr>
        <w:spacing w:after="0" w:line="240" w:lineRule="auto"/>
      </w:pPr>
      <w:r>
        <w:separator/>
      </w:r>
    </w:p>
  </w:endnote>
  <w:endnote w:type="continuationSeparator" w:id="0">
    <w:p w:rsidR="0097504A" w:rsidRDefault="0097504A" w:rsidP="0009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04A" w:rsidRDefault="0097504A" w:rsidP="00096CF6">
      <w:pPr>
        <w:spacing w:after="0" w:line="240" w:lineRule="auto"/>
      </w:pPr>
      <w:r>
        <w:separator/>
      </w:r>
    </w:p>
  </w:footnote>
  <w:footnote w:type="continuationSeparator" w:id="0">
    <w:p w:rsidR="0097504A" w:rsidRDefault="0097504A" w:rsidP="00096CF6">
      <w:pPr>
        <w:spacing w:after="0" w:line="240" w:lineRule="auto"/>
      </w:pPr>
      <w:r>
        <w:continuationSeparator/>
      </w:r>
    </w:p>
  </w:footnote>
  <w:footnote w:id="1">
    <w:p w:rsidR="00096CF6" w:rsidRPr="0026142D" w:rsidRDefault="00096CF6" w:rsidP="00096CF6">
      <w:pPr>
        <w:pStyle w:val="ab"/>
      </w:pPr>
      <w:r>
        <w:rPr>
          <w:rStyle w:val="aa"/>
        </w:rPr>
        <w:footnoteRef/>
      </w:r>
      <w:r>
        <w:t xml:space="preserve"> </w:t>
      </w:r>
      <w:r w:rsidRPr="0026142D">
        <w:t>Отчет ФГУП «Крыловский государственный научный центр», 2012</w:t>
      </w:r>
    </w:p>
  </w:footnote>
  <w:footnote w:id="2">
    <w:p w:rsidR="00096CF6" w:rsidRPr="00D9205D" w:rsidRDefault="00096CF6" w:rsidP="00096CF6">
      <w:pPr>
        <w:pStyle w:val="ab"/>
      </w:pPr>
      <w:r w:rsidRPr="00D9205D">
        <w:rPr>
          <w:rStyle w:val="aa"/>
        </w:rPr>
        <w:footnoteRef/>
      </w:r>
      <w:r w:rsidRPr="00D9205D">
        <w:t xml:space="preserve"> Краткая характеристика основных судоходных компаний приведена в Приложении </w:t>
      </w:r>
      <w:r>
        <w:rPr>
          <w:lang w:val="ru-RU"/>
        </w:rPr>
        <w:t>3</w:t>
      </w:r>
      <w:r w:rsidRPr="00D9205D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88424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26528A" w:rsidRPr="0026528A" w:rsidRDefault="0026528A" w:rsidP="0026528A">
        <w:pPr>
          <w:pStyle w:val="af"/>
          <w:jc w:val="center"/>
          <w:rPr>
            <w:rFonts w:ascii="Times New Roman" w:hAnsi="Times New Roman"/>
          </w:rPr>
        </w:pPr>
        <w:r w:rsidRPr="0026528A">
          <w:rPr>
            <w:rFonts w:ascii="Times New Roman" w:hAnsi="Times New Roman"/>
          </w:rPr>
          <w:fldChar w:fldCharType="begin"/>
        </w:r>
        <w:r w:rsidRPr="0026528A">
          <w:rPr>
            <w:rFonts w:ascii="Times New Roman" w:hAnsi="Times New Roman"/>
          </w:rPr>
          <w:instrText>PAGE   \* MERGEFORMAT</w:instrText>
        </w:r>
        <w:r w:rsidRPr="0026528A">
          <w:rPr>
            <w:rFonts w:ascii="Times New Roman" w:hAnsi="Times New Roman"/>
          </w:rPr>
          <w:fldChar w:fldCharType="separate"/>
        </w:r>
        <w:r w:rsidR="00E635EA">
          <w:rPr>
            <w:rFonts w:ascii="Times New Roman" w:hAnsi="Times New Roman"/>
            <w:noProof/>
          </w:rPr>
          <w:t>339</w:t>
        </w:r>
        <w:r w:rsidRPr="0026528A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7785B"/>
    <w:multiLevelType w:val="hybridMultilevel"/>
    <w:tmpl w:val="017E8D3C"/>
    <w:lvl w:ilvl="0" w:tplc="A644E81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A057E"/>
    <w:multiLevelType w:val="hybridMultilevel"/>
    <w:tmpl w:val="9F864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D013A"/>
    <w:multiLevelType w:val="hybridMultilevel"/>
    <w:tmpl w:val="4B08DEA6"/>
    <w:lvl w:ilvl="0" w:tplc="35E4C9B8">
      <w:start w:val="1"/>
      <w:numFmt w:val="decimal"/>
      <w:lvlText w:val="%1."/>
      <w:lvlJc w:val="left"/>
      <w:pPr>
        <w:ind w:left="1644" w:hanging="93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>
      <w:start w:val="1"/>
      <w:numFmt w:val="lowerRoman"/>
      <w:lvlText w:val="%3."/>
      <w:lvlJc w:val="right"/>
      <w:pPr>
        <w:ind w:left="2517" w:hanging="180"/>
      </w:pPr>
    </w:lvl>
    <w:lvl w:ilvl="3" w:tplc="0419000F">
      <w:start w:val="1"/>
      <w:numFmt w:val="decimal"/>
      <w:lvlText w:val="%4."/>
      <w:lvlJc w:val="left"/>
      <w:pPr>
        <w:ind w:left="3237" w:hanging="360"/>
      </w:pPr>
    </w:lvl>
    <w:lvl w:ilvl="4" w:tplc="04190019">
      <w:start w:val="1"/>
      <w:numFmt w:val="lowerLetter"/>
      <w:lvlText w:val="%5."/>
      <w:lvlJc w:val="left"/>
      <w:pPr>
        <w:ind w:left="3957" w:hanging="360"/>
      </w:pPr>
    </w:lvl>
    <w:lvl w:ilvl="5" w:tplc="0419001B">
      <w:start w:val="1"/>
      <w:numFmt w:val="lowerRoman"/>
      <w:lvlText w:val="%6."/>
      <w:lvlJc w:val="right"/>
      <w:pPr>
        <w:ind w:left="4677" w:hanging="180"/>
      </w:pPr>
    </w:lvl>
    <w:lvl w:ilvl="6" w:tplc="0419000F">
      <w:start w:val="1"/>
      <w:numFmt w:val="decimal"/>
      <w:lvlText w:val="%7."/>
      <w:lvlJc w:val="left"/>
      <w:pPr>
        <w:ind w:left="5397" w:hanging="360"/>
      </w:pPr>
    </w:lvl>
    <w:lvl w:ilvl="7" w:tplc="04190019">
      <w:start w:val="1"/>
      <w:numFmt w:val="lowerLetter"/>
      <w:lvlText w:val="%8."/>
      <w:lvlJc w:val="left"/>
      <w:pPr>
        <w:ind w:left="6117" w:hanging="360"/>
      </w:pPr>
    </w:lvl>
    <w:lvl w:ilvl="8" w:tplc="0419001B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255F77DC"/>
    <w:multiLevelType w:val="hybridMultilevel"/>
    <w:tmpl w:val="F5042776"/>
    <w:lvl w:ilvl="0" w:tplc="4E8CC15C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0127D"/>
    <w:multiLevelType w:val="hybridMultilevel"/>
    <w:tmpl w:val="06845FBE"/>
    <w:lvl w:ilvl="0" w:tplc="4E8CC15C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387F90"/>
    <w:multiLevelType w:val="multilevel"/>
    <w:tmpl w:val="CB4826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71165F4"/>
    <w:multiLevelType w:val="hybridMultilevel"/>
    <w:tmpl w:val="2DD6D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D15378"/>
    <w:multiLevelType w:val="hybridMultilevel"/>
    <w:tmpl w:val="1870F800"/>
    <w:lvl w:ilvl="0" w:tplc="A0F41EB2"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E6"/>
    <w:rsid w:val="00096CF6"/>
    <w:rsid w:val="000B25EE"/>
    <w:rsid w:val="000C58D4"/>
    <w:rsid w:val="000E1447"/>
    <w:rsid w:val="00121D04"/>
    <w:rsid w:val="0020211C"/>
    <w:rsid w:val="002166A7"/>
    <w:rsid w:val="00231253"/>
    <w:rsid w:val="0026528A"/>
    <w:rsid w:val="002E4B85"/>
    <w:rsid w:val="003166E0"/>
    <w:rsid w:val="0033729E"/>
    <w:rsid w:val="00366F45"/>
    <w:rsid w:val="0042364B"/>
    <w:rsid w:val="0043226E"/>
    <w:rsid w:val="004373E6"/>
    <w:rsid w:val="00491CF2"/>
    <w:rsid w:val="004934A9"/>
    <w:rsid w:val="004E673D"/>
    <w:rsid w:val="00512D5C"/>
    <w:rsid w:val="00552260"/>
    <w:rsid w:val="005774F0"/>
    <w:rsid w:val="005A0419"/>
    <w:rsid w:val="00660FB4"/>
    <w:rsid w:val="006923E8"/>
    <w:rsid w:val="006E6378"/>
    <w:rsid w:val="00731FE1"/>
    <w:rsid w:val="00792FBF"/>
    <w:rsid w:val="008035A1"/>
    <w:rsid w:val="008134C2"/>
    <w:rsid w:val="008E7A4D"/>
    <w:rsid w:val="0097504A"/>
    <w:rsid w:val="009E331D"/>
    <w:rsid w:val="00A32AFC"/>
    <w:rsid w:val="00A73319"/>
    <w:rsid w:val="00AC6F75"/>
    <w:rsid w:val="00B32747"/>
    <w:rsid w:val="00BC2AA9"/>
    <w:rsid w:val="00C901CA"/>
    <w:rsid w:val="00C927DF"/>
    <w:rsid w:val="00CD6C2A"/>
    <w:rsid w:val="00D5043C"/>
    <w:rsid w:val="00DB2923"/>
    <w:rsid w:val="00E0671A"/>
    <w:rsid w:val="00E3631A"/>
    <w:rsid w:val="00E635EA"/>
    <w:rsid w:val="00E7184C"/>
    <w:rsid w:val="00F178A3"/>
    <w:rsid w:val="00FD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73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1 заголовок"/>
    <w:basedOn w:val="a1"/>
    <w:next w:val="a0"/>
    <w:link w:val="10"/>
    <w:qFormat/>
    <w:rsid w:val="006E6378"/>
    <w:pPr>
      <w:ind w:left="360" w:hanging="360"/>
      <w:jc w:val="both"/>
      <w:outlineLvl w:val="0"/>
    </w:pPr>
    <w:rPr>
      <w:rFonts w:ascii="Times New Roman" w:eastAsiaTheme="minorHAnsi" w:hAnsi="Times New Roman" w:cstheme="minorBidi"/>
      <w:b/>
      <w:sz w:val="32"/>
      <w:lang w:eastAsia="en-US"/>
    </w:rPr>
  </w:style>
  <w:style w:type="paragraph" w:styleId="2">
    <w:name w:val="heading 2"/>
    <w:aliases w:val="2 Заголовок"/>
    <w:basedOn w:val="a0"/>
    <w:next w:val="a0"/>
    <w:link w:val="20"/>
    <w:autoRedefine/>
    <w:unhideWhenUsed/>
    <w:qFormat/>
    <w:rsid w:val="00DB2923"/>
    <w:pPr>
      <w:keepNext/>
      <w:shd w:val="clear" w:color="auto" w:fill="FFFFFF"/>
      <w:tabs>
        <w:tab w:val="left" w:pos="0"/>
      </w:tabs>
      <w:snapToGrid w:val="0"/>
      <w:spacing w:before="120" w:after="0"/>
      <w:ind w:left="-142" w:firstLine="142"/>
      <w:contextualSpacing/>
      <w:outlineLvl w:val="1"/>
    </w:pPr>
    <w:rPr>
      <w:rFonts w:ascii="Times New Roman" w:eastAsia="MS Mincho" w:hAnsi="Times New Roman"/>
      <w:b/>
      <w:sz w:val="24"/>
      <w:szCs w:val="24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4373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qFormat/>
    <w:rsid w:val="00DB2923"/>
    <w:pPr>
      <w:spacing w:before="120" w:after="0"/>
      <w:ind w:firstLine="709"/>
      <w:jc w:val="both"/>
    </w:pPr>
    <w:rPr>
      <w:rFonts w:ascii="Times New Roman" w:eastAsia="MS Mincho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DB2923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aliases w:val="2 Заголовок Знак"/>
    <w:basedOn w:val="a2"/>
    <w:link w:val="2"/>
    <w:rsid w:val="00DB2923"/>
    <w:rPr>
      <w:rFonts w:ascii="Times New Roman" w:eastAsia="MS Mincho" w:hAnsi="Times New Roman" w:cs="Times New Roman"/>
      <w:b/>
      <w:sz w:val="24"/>
      <w:szCs w:val="24"/>
      <w:shd w:val="clear" w:color="auto" w:fill="FFFFFF"/>
      <w:lang w:val="x-none" w:eastAsia="x-none"/>
    </w:rPr>
  </w:style>
  <w:style w:type="paragraph" w:customStyle="1" w:styleId="a">
    <w:name w:val="Списки"/>
    <w:basedOn w:val="a1"/>
    <w:link w:val="a7"/>
    <w:qFormat/>
    <w:rsid w:val="00DB2923"/>
    <w:pPr>
      <w:numPr>
        <w:numId w:val="1"/>
      </w:numPr>
      <w:spacing w:before="120" w:after="0"/>
      <w:jc w:val="both"/>
    </w:pPr>
    <w:rPr>
      <w:rFonts w:ascii="Times New Roman" w:hAnsi="Times New Roman"/>
      <w:sz w:val="24"/>
      <w:shd w:val="clear" w:color="auto" w:fill="FFFFFF"/>
      <w:lang w:val="x-none" w:eastAsia="x-none"/>
    </w:rPr>
  </w:style>
  <w:style w:type="character" w:customStyle="1" w:styleId="a7">
    <w:name w:val="Списки Знак"/>
    <w:link w:val="a"/>
    <w:rsid w:val="00DB2923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a1">
    <w:name w:val="List Paragraph"/>
    <w:basedOn w:val="a0"/>
    <w:link w:val="a8"/>
    <w:uiPriority w:val="34"/>
    <w:qFormat/>
    <w:rsid w:val="00DB2923"/>
    <w:pPr>
      <w:ind w:left="720"/>
      <w:contextualSpacing/>
    </w:pPr>
  </w:style>
  <w:style w:type="character" w:customStyle="1" w:styleId="10">
    <w:name w:val="Заголовок 1 Знак"/>
    <w:aliases w:val="1 заголовок Знак"/>
    <w:basedOn w:val="a2"/>
    <w:link w:val="1"/>
    <w:rsid w:val="006E6378"/>
    <w:rPr>
      <w:rFonts w:ascii="Times New Roman" w:hAnsi="Times New Roman"/>
      <w:b/>
      <w:sz w:val="32"/>
    </w:rPr>
  </w:style>
  <w:style w:type="character" w:customStyle="1" w:styleId="a8">
    <w:name w:val="Абзац списка Знак"/>
    <w:link w:val="a1"/>
    <w:uiPriority w:val="34"/>
    <w:locked/>
    <w:rsid w:val="006E6378"/>
    <w:rPr>
      <w:rFonts w:ascii="Calibri" w:eastAsia="Times New Roman" w:hAnsi="Calibri" w:cs="Times New Roman"/>
      <w:lang w:eastAsia="ru-RU"/>
    </w:rPr>
  </w:style>
  <w:style w:type="paragraph" w:customStyle="1" w:styleId="4">
    <w:name w:val="Основной текст4"/>
    <w:basedOn w:val="a0"/>
    <w:link w:val="a9"/>
    <w:rsid w:val="0033729E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23"/>
      <w:szCs w:val="23"/>
      <w:lang w:eastAsia="en-US"/>
    </w:rPr>
  </w:style>
  <w:style w:type="character" w:customStyle="1" w:styleId="a9">
    <w:name w:val="Основной текст_"/>
    <w:basedOn w:val="a2"/>
    <w:link w:val="4"/>
    <w:rsid w:val="0033729E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1"/>
    <w:rsid w:val="00096CF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a">
    <w:name w:val="footnote reference"/>
    <w:aliases w:val="Знак сноски-FN,Знак сноски 1,Ciae niinee-FN,SUPERS,Referencia nota al pie,fr,Used by Word for Help footnote symbols,Стиль Знак сноски,Ссылка на сноску 45,Appel note de bas de page + 1...,Appel note de bas de page"/>
    <w:uiPriority w:val="99"/>
    <w:semiHidden/>
    <w:rsid w:val="00096CF6"/>
    <w:rPr>
      <w:vertAlign w:val="superscript"/>
    </w:rPr>
  </w:style>
  <w:style w:type="paragraph" w:customStyle="1" w:styleId="ab">
    <w:name w:val="сноска"/>
    <w:basedOn w:val="ac"/>
    <w:link w:val="ad"/>
    <w:qFormat/>
    <w:rsid w:val="00096CF6"/>
    <w:pPr>
      <w:suppressAutoHyphens/>
      <w:spacing w:before="60" w:line="288" w:lineRule="auto"/>
      <w:contextualSpacing/>
      <w:jc w:val="both"/>
    </w:pPr>
    <w:rPr>
      <w:rFonts w:ascii="Times New Roman" w:hAnsi="Times New Roman"/>
      <w:lang w:val="x-none" w:eastAsia="x-none"/>
    </w:rPr>
  </w:style>
  <w:style w:type="character" w:customStyle="1" w:styleId="ad">
    <w:name w:val="сноска Знак"/>
    <w:link w:val="ab"/>
    <w:rsid w:val="00096C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note text"/>
    <w:basedOn w:val="a0"/>
    <w:link w:val="ae"/>
    <w:uiPriority w:val="99"/>
    <w:semiHidden/>
    <w:unhideWhenUsed/>
    <w:rsid w:val="00096CF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2"/>
    <w:link w:val="ac"/>
    <w:uiPriority w:val="99"/>
    <w:semiHidden/>
    <w:rsid w:val="00096CF6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2">
    <w:name w:val="1. Таблица"/>
    <w:basedOn w:val="a0"/>
    <w:link w:val="13"/>
    <w:qFormat/>
    <w:rsid w:val="00096CF6"/>
    <w:pPr>
      <w:keepNext/>
      <w:suppressAutoHyphens/>
      <w:spacing w:before="120" w:after="0" w:line="240" w:lineRule="auto"/>
      <w:ind w:firstLine="720"/>
      <w:contextualSpacing/>
      <w:jc w:val="right"/>
    </w:pPr>
    <w:rPr>
      <w:rFonts w:ascii="Times New Roman" w:hAnsi="Times New Roman"/>
      <w:b/>
      <w:bCs/>
      <w:i/>
      <w:sz w:val="20"/>
      <w:szCs w:val="24"/>
      <w:lang w:val="x-none" w:eastAsia="x-none"/>
    </w:rPr>
  </w:style>
  <w:style w:type="character" w:customStyle="1" w:styleId="13">
    <w:name w:val="1. Таблица Знак"/>
    <w:basedOn w:val="a2"/>
    <w:link w:val="12"/>
    <w:rsid w:val="00096CF6"/>
    <w:rPr>
      <w:rFonts w:ascii="Times New Roman" w:eastAsia="Times New Roman" w:hAnsi="Times New Roman" w:cs="Times New Roman"/>
      <w:b/>
      <w:bCs/>
      <w:i/>
      <w:sz w:val="20"/>
      <w:szCs w:val="24"/>
      <w:lang w:val="x-none" w:eastAsia="x-none"/>
    </w:rPr>
  </w:style>
  <w:style w:type="paragraph" w:styleId="af">
    <w:name w:val="header"/>
    <w:basedOn w:val="a0"/>
    <w:link w:val="af0"/>
    <w:uiPriority w:val="99"/>
    <w:unhideWhenUsed/>
    <w:rsid w:val="00265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26528A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0"/>
    <w:link w:val="af2"/>
    <w:uiPriority w:val="99"/>
    <w:unhideWhenUsed/>
    <w:rsid w:val="00265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26528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73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1 заголовок"/>
    <w:basedOn w:val="a1"/>
    <w:next w:val="a0"/>
    <w:link w:val="10"/>
    <w:qFormat/>
    <w:rsid w:val="006E6378"/>
    <w:pPr>
      <w:ind w:left="360" w:hanging="360"/>
      <w:jc w:val="both"/>
      <w:outlineLvl w:val="0"/>
    </w:pPr>
    <w:rPr>
      <w:rFonts w:ascii="Times New Roman" w:eastAsiaTheme="minorHAnsi" w:hAnsi="Times New Roman" w:cstheme="minorBidi"/>
      <w:b/>
      <w:sz w:val="32"/>
      <w:lang w:eastAsia="en-US"/>
    </w:rPr>
  </w:style>
  <w:style w:type="paragraph" w:styleId="2">
    <w:name w:val="heading 2"/>
    <w:aliases w:val="2 Заголовок"/>
    <w:basedOn w:val="a0"/>
    <w:next w:val="a0"/>
    <w:link w:val="20"/>
    <w:autoRedefine/>
    <w:unhideWhenUsed/>
    <w:qFormat/>
    <w:rsid w:val="00DB2923"/>
    <w:pPr>
      <w:keepNext/>
      <w:shd w:val="clear" w:color="auto" w:fill="FFFFFF"/>
      <w:tabs>
        <w:tab w:val="left" w:pos="0"/>
      </w:tabs>
      <w:snapToGrid w:val="0"/>
      <w:spacing w:before="120" w:after="0"/>
      <w:ind w:left="-142" w:firstLine="142"/>
      <w:contextualSpacing/>
      <w:outlineLvl w:val="1"/>
    </w:pPr>
    <w:rPr>
      <w:rFonts w:ascii="Times New Roman" w:eastAsia="MS Mincho" w:hAnsi="Times New Roman"/>
      <w:b/>
      <w:sz w:val="24"/>
      <w:szCs w:val="24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4373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qFormat/>
    <w:rsid w:val="00DB2923"/>
    <w:pPr>
      <w:spacing w:before="120" w:after="0"/>
      <w:ind w:firstLine="709"/>
      <w:jc w:val="both"/>
    </w:pPr>
    <w:rPr>
      <w:rFonts w:ascii="Times New Roman" w:eastAsia="MS Mincho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DB2923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aliases w:val="2 Заголовок Знак"/>
    <w:basedOn w:val="a2"/>
    <w:link w:val="2"/>
    <w:rsid w:val="00DB2923"/>
    <w:rPr>
      <w:rFonts w:ascii="Times New Roman" w:eastAsia="MS Mincho" w:hAnsi="Times New Roman" w:cs="Times New Roman"/>
      <w:b/>
      <w:sz w:val="24"/>
      <w:szCs w:val="24"/>
      <w:shd w:val="clear" w:color="auto" w:fill="FFFFFF"/>
      <w:lang w:val="x-none" w:eastAsia="x-none"/>
    </w:rPr>
  </w:style>
  <w:style w:type="paragraph" w:customStyle="1" w:styleId="a">
    <w:name w:val="Списки"/>
    <w:basedOn w:val="a1"/>
    <w:link w:val="a7"/>
    <w:qFormat/>
    <w:rsid w:val="00DB2923"/>
    <w:pPr>
      <w:numPr>
        <w:numId w:val="1"/>
      </w:numPr>
      <w:spacing w:before="120" w:after="0"/>
      <w:jc w:val="both"/>
    </w:pPr>
    <w:rPr>
      <w:rFonts w:ascii="Times New Roman" w:hAnsi="Times New Roman"/>
      <w:sz w:val="24"/>
      <w:shd w:val="clear" w:color="auto" w:fill="FFFFFF"/>
      <w:lang w:val="x-none" w:eastAsia="x-none"/>
    </w:rPr>
  </w:style>
  <w:style w:type="character" w:customStyle="1" w:styleId="a7">
    <w:name w:val="Списки Знак"/>
    <w:link w:val="a"/>
    <w:rsid w:val="00DB2923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a1">
    <w:name w:val="List Paragraph"/>
    <w:basedOn w:val="a0"/>
    <w:link w:val="a8"/>
    <w:uiPriority w:val="34"/>
    <w:qFormat/>
    <w:rsid w:val="00DB2923"/>
    <w:pPr>
      <w:ind w:left="720"/>
      <w:contextualSpacing/>
    </w:pPr>
  </w:style>
  <w:style w:type="character" w:customStyle="1" w:styleId="10">
    <w:name w:val="Заголовок 1 Знак"/>
    <w:aliases w:val="1 заголовок Знак"/>
    <w:basedOn w:val="a2"/>
    <w:link w:val="1"/>
    <w:rsid w:val="006E6378"/>
    <w:rPr>
      <w:rFonts w:ascii="Times New Roman" w:hAnsi="Times New Roman"/>
      <w:b/>
      <w:sz w:val="32"/>
    </w:rPr>
  </w:style>
  <w:style w:type="character" w:customStyle="1" w:styleId="a8">
    <w:name w:val="Абзац списка Знак"/>
    <w:link w:val="a1"/>
    <w:uiPriority w:val="34"/>
    <w:locked/>
    <w:rsid w:val="006E6378"/>
    <w:rPr>
      <w:rFonts w:ascii="Calibri" w:eastAsia="Times New Roman" w:hAnsi="Calibri" w:cs="Times New Roman"/>
      <w:lang w:eastAsia="ru-RU"/>
    </w:rPr>
  </w:style>
  <w:style w:type="paragraph" w:customStyle="1" w:styleId="4">
    <w:name w:val="Основной текст4"/>
    <w:basedOn w:val="a0"/>
    <w:link w:val="a9"/>
    <w:rsid w:val="0033729E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23"/>
      <w:szCs w:val="23"/>
      <w:lang w:eastAsia="en-US"/>
    </w:rPr>
  </w:style>
  <w:style w:type="character" w:customStyle="1" w:styleId="a9">
    <w:name w:val="Основной текст_"/>
    <w:basedOn w:val="a2"/>
    <w:link w:val="4"/>
    <w:rsid w:val="0033729E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1"/>
    <w:rsid w:val="00096CF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a">
    <w:name w:val="footnote reference"/>
    <w:aliases w:val="Знак сноски-FN,Знак сноски 1,Ciae niinee-FN,SUPERS,Referencia nota al pie,fr,Used by Word for Help footnote symbols,Стиль Знак сноски,Ссылка на сноску 45,Appel note de bas de page + 1...,Appel note de bas de page"/>
    <w:uiPriority w:val="99"/>
    <w:semiHidden/>
    <w:rsid w:val="00096CF6"/>
    <w:rPr>
      <w:vertAlign w:val="superscript"/>
    </w:rPr>
  </w:style>
  <w:style w:type="paragraph" w:customStyle="1" w:styleId="ab">
    <w:name w:val="сноска"/>
    <w:basedOn w:val="ac"/>
    <w:link w:val="ad"/>
    <w:qFormat/>
    <w:rsid w:val="00096CF6"/>
    <w:pPr>
      <w:suppressAutoHyphens/>
      <w:spacing w:before="60" w:line="288" w:lineRule="auto"/>
      <w:contextualSpacing/>
      <w:jc w:val="both"/>
    </w:pPr>
    <w:rPr>
      <w:rFonts w:ascii="Times New Roman" w:hAnsi="Times New Roman"/>
      <w:lang w:val="x-none" w:eastAsia="x-none"/>
    </w:rPr>
  </w:style>
  <w:style w:type="character" w:customStyle="1" w:styleId="ad">
    <w:name w:val="сноска Знак"/>
    <w:link w:val="ab"/>
    <w:rsid w:val="00096C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note text"/>
    <w:basedOn w:val="a0"/>
    <w:link w:val="ae"/>
    <w:uiPriority w:val="99"/>
    <w:semiHidden/>
    <w:unhideWhenUsed/>
    <w:rsid w:val="00096CF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2"/>
    <w:link w:val="ac"/>
    <w:uiPriority w:val="99"/>
    <w:semiHidden/>
    <w:rsid w:val="00096CF6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2">
    <w:name w:val="1. Таблица"/>
    <w:basedOn w:val="a0"/>
    <w:link w:val="13"/>
    <w:qFormat/>
    <w:rsid w:val="00096CF6"/>
    <w:pPr>
      <w:keepNext/>
      <w:suppressAutoHyphens/>
      <w:spacing w:before="120" w:after="0" w:line="240" w:lineRule="auto"/>
      <w:ind w:firstLine="720"/>
      <w:contextualSpacing/>
      <w:jc w:val="right"/>
    </w:pPr>
    <w:rPr>
      <w:rFonts w:ascii="Times New Roman" w:hAnsi="Times New Roman"/>
      <w:b/>
      <w:bCs/>
      <w:i/>
      <w:sz w:val="20"/>
      <w:szCs w:val="24"/>
      <w:lang w:val="x-none" w:eastAsia="x-none"/>
    </w:rPr>
  </w:style>
  <w:style w:type="character" w:customStyle="1" w:styleId="13">
    <w:name w:val="1. Таблица Знак"/>
    <w:basedOn w:val="a2"/>
    <w:link w:val="12"/>
    <w:rsid w:val="00096CF6"/>
    <w:rPr>
      <w:rFonts w:ascii="Times New Roman" w:eastAsia="Times New Roman" w:hAnsi="Times New Roman" w:cs="Times New Roman"/>
      <w:b/>
      <w:bCs/>
      <w:i/>
      <w:sz w:val="20"/>
      <w:szCs w:val="24"/>
      <w:lang w:val="x-none" w:eastAsia="x-none"/>
    </w:rPr>
  </w:style>
  <w:style w:type="paragraph" w:styleId="af">
    <w:name w:val="header"/>
    <w:basedOn w:val="a0"/>
    <w:link w:val="af0"/>
    <w:uiPriority w:val="99"/>
    <w:unhideWhenUsed/>
    <w:rsid w:val="00265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26528A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0"/>
    <w:link w:val="af2"/>
    <w:uiPriority w:val="99"/>
    <w:unhideWhenUsed/>
    <w:rsid w:val="00265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26528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3526</Words>
  <Characters>25711</Characters>
  <Application>Microsoft Office Word</Application>
  <DocSecurity>0</DocSecurity>
  <Lines>714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MALYSHEV_IVAN</cp:lastModifiedBy>
  <cp:revision>17</cp:revision>
  <dcterms:created xsi:type="dcterms:W3CDTF">2016-05-10T07:27:00Z</dcterms:created>
  <dcterms:modified xsi:type="dcterms:W3CDTF">2017-01-12T08:53:00Z</dcterms:modified>
</cp:coreProperties>
</file>